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FC0" w:rsidRPr="000612C3" w:rsidRDefault="00FE1FC0" w:rsidP="00FE1FC0">
      <w:pPr>
        <w:widowControl/>
        <w:shd w:val="clear" w:color="auto" w:fill="FFFFFF"/>
        <w:spacing w:line="485" w:lineRule="atLeast"/>
        <w:rPr>
          <w:rFonts w:ascii="黑体" w:eastAsia="黑体"/>
          <w:color w:val="000000" w:themeColor="text1"/>
          <w:kern w:val="0"/>
          <w:sz w:val="32"/>
          <w:szCs w:val="32"/>
        </w:rPr>
      </w:pPr>
      <w:r w:rsidRPr="000612C3">
        <w:rPr>
          <w:rFonts w:ascii="黑体" w:eastAsia="黑体" w:hint="eastAsia"/>
          <w:color w:val="000000" w:themeColor="text1"/>
          <w:kern w:val="0"/>
          <w:sz w:val="32"/>
          <w:szCs w:val="32"/>
        </w:rPr>
        <w:t>附件3</w:t>
      </w:r>
    </w:p>
    <w:p w:rsidR="000123C8" w:rsidRPr="000612C3" w:rsidRDefault="000123C8" w:rsidP="00FE1FC0">
      <w:pPr>
        <w:widowControl/>
        <w:shd w:val="clear" w:color="auto" w:fill="FFFFFF"/>
        <w:spacing w:line="485" w:lineRule="atLeast"/>
        <w:jc w:val="center"/>
        <w:rPr>
          <w:rFonts w:eastAsia="仿宋_GB2312"/>
          <w:b/>
          <w:color w:val="000000" w:themeColor="text1"/>
          <w:kern w:val="0"/>
          <w:sz w:val="32"/>
          <w:szCs w:val="32"/>
        </w:rPr>
      </w:pPr>
    </w:p>
    <w:p w:rsidR="00FE1FC0" w:rsidRPr="000612C3" w:rsidRDefault="00FE1FC0" w:rsidP="00FE1FC0">
      <w:pPr>
        <w:widowControl/>
        <w:shd w:val="clear" w:color="auto" w:fill="FFFFFF"/>
        <w:spacing w:line="485" w:lineRule="atLeast"/>
        <w:jc w:val="center"/>
        <w:rPr>
          <w:rFonts w:eastAsia="仿宋_GB2312"/>
          <w:b/>
          <w:color w:val="000000" w:themeColor="text1"/>
          <w:kern w:val="0"/>
          <w:sz w:val="32"/>
          <w:szCs w:val="32"/>
        </w:rPr>
      </w:pPr>
      <w:r w:rsidRPr="000612C3">
        <w:rPr>
          <w:rFonts w:eastAsia="仿宋_GB2312"/>
          <w:b/>
          <w:color w:val="000000" w:themeColor="text1"/>
          <w:kern w:val="0"/>
          <w:sz w:val="32"/>
          <w:szCs w:val="32"/>
        </w:rPr>
        <w:t>《告知书》</w:t>
      </w:r>
    </w:p>
    <w:p w:rsidR="00FE1FC0" w:rsidRPr="000612C3" w:rsidRDefault="00FE1FC0" w:rsidP="000123C8">
      <w:pPr>
        <w:widowControl/>
        <w:shd w:val="clear" w:color="auto" w:fill="FFFFFF"/>
        <w:spacing w:line="485" w:lineRule="atLeast"/>
        <w:ind w:firstLineChars="200" w:firstLine="640"/>
        <w:jc w:val="left"/>
        <w:rPr>
          <w:rFonts w:eastAsia="仿宋_GB2312"/>
          <w:color w:val="000000" w:themeColor="text1"/>
          <w:kern w:val="0"/>
          <w:sz w:val="32"/>
          <w:szCs w:val="32"/>
        </w:rPr>
      </w:pPr>
      <w:r w:rsidRPr="000612C3">
        <w:rPr>
          <w:rFonts w:eastAsia="仿宋_GB2312"/>
          <w:color w:val="000000" w:themeColor="text1"/>
          <w:kern w:val="0"/>
          <w:sz w:val="32"/>
          <w:szCs w:val="32"/>
        </w:rPr>
        <w:t>实行查账征收的居民企业（以下简称企业）以非货币性资产对外投资确认的非货币性资产转让所得，可自确认非货币性资产转让收入年度起不超过连续</w:t>
      </w:r>
      <w:r w:rsidRPr="000612C3">
        <w:rPr>
          <w:rFonts w:eastAsia="仿宋_GB2312"/>
          <w:color w:val="000000" w:themeColor="text1"/>
          <w:kern w:val="0"/>
          <w:sz w:val="32"/>
          <w:szCs w:val="32"/>
        </w:rPr>
        <w:t>5</w:t>
      </w:r>
      <w:r w:rsidRPr="000612C3">
        <w:rPr>
          <w:rFonts w:eastAsia="仿宋_GB2312"/>
          <w:color w:val="000000" w:themeColor="text1"/>
          <w:kern w:val="0"/>
          <w:sz w:val="32"/>
          <w:szCs w:val="32"/>
        </w:rPr>
        <w:t>个纳税年度的期间内，分期均匀计入相应年度的应纳税所得额，按规定计算缴纳企业所得税。</w:t>
      </w:r>
    </w:p>
    <w:p w:rsidR="00FE1FC0" w:rsidRPr="000612C3" w:rsidRDefault="00FE1FC0" w:rsidP="000123C8">
      <w:pPr>
        <w:widowControl/>
        <w:shd w:val="clear" w:color="auto" w:fill="FFFFFF"/>
        <w:ind w:firstLineChars="200" w:firstLine="640"/>
        <w:jc w:val="left"/>
        <w:rPr>
          <w:rFonts w:eastAsia="仿宋_GB2312"/>
          <w:color w:val="000000" w:themeColor="text1"/>
          <w:kern w:val="0"/>
          <w:sz w:val="32"/>
          <w:szCs w:val="32"/>
        </w:rPr>
      </w:pPr>
      <w:r w:rsidRPr="000612C3">
        <w:rPr>
          <w:rFonts w:eastAsia="仿宋_GB2312"/>
          <w:color w:val="000000" w:themeColor="text1"/>
          <w:kern w:val="0"/>
          <w:sz w:val="32"/>
          <w:szCs w:val="32"/>
        </w:rPr>
        <w:t>企业在对外投资</w:t>
      </w:r>
      <w:r w:rsidRPr="000612C3">
        <w:rPr>
          <w:rFonts w:eastAsia="仿宋_GB2312"/>
          <w:color w:val="000000" w:themeColor="text1"/>
          <w:kern w:val="0"/>
          <w:sz w:val="32"/>
          <w:szCs w:val="32"/>
        </w:rPr>
        <w:t>5</w:t>
      </w:r>
      <w:r w:rsidRPr="000612C3">
        <w:rPr>
          <w:rFonts w:eastAsia="仿宋_GB2312"/>
          <w:color w:val="000000" w:themeColor="text1"/>
          <w:kern w:val="0"/>
          <w:sz w:val="32"/>
          <w:szCs w:val="32"/>
        </w:rPr>
        <w:t>年内转让上述股权或投资收回的，应停止执行递延纳税政策，并就递延期内尚未确认的非货币性资产转让所得，在转让股权或投资收回当年的企业所得税年度汇算清缴时，一次性计算缴纳企业所得税；企业在计算股权转让所得时，可按《财政部　国家税务总局</w:t>
      </w:r>
      <w:r w:rsidRPr="000612C3">
        <w:rPr>
          <w:rFonts w:eastAsia="仿宋_GB2312"/>
          <w:bCs/>
          <w:color w:val="000000" w:themeColor="text1"/>
          <w:kern w:val="36"/>
          <w:sz w:val="32"/>
          <w:szCs w:val="32"/>
        </w:rPr>
        <w:t>关于非货币性资产投资企业所得税政策问题的通知》</w:t>
      </w:r>
      <w:r w:rsidRPr="000612C3">
        <w:rPr>
          <w:rFonts w:eastAsia="仿宋_GB2312"/>
          <w:color w:val="000000" w:themeColor="text1"/>
          <w:kern w:val="0"/>
          <w:sz w:val="32"/>
          <w:szCs w:val="32"/>
        </w:rPr>
        <w:t>（</w:t>
      </w:r>
      <w:r w:rsidRPr="000612C3">
        <w:rPr>
          <w:rFonts w:eastAsia="仿宋_GB2312"/>
          <w:color w:val="000000" w:themeColor="text1"/>
          <w:kern w:val="0"/>
          <w:sz w:val="32"/>
          <w:szCs w:val="32"/>
        </w:rPr>
        <w:t xml:space="preserve"> </w:t>
      </w:r>
      <w:r w:rsidRPr="000612C3">
        <w:rPr>
          <w:rFonts w:eastAsia="仿宋_GB2312"/>
          <w:color w:val="000000" w:themeColor="text1"/>
          <w:kern w:val="0"/>
          <w:sz w:val="32"/>
          <w:szCs w:val="32"/>
        </w:rPr>
        <w:t>财税〔</w:t>
      </w:r>
      <w:r w:rsidRPr="000612C3">
        <w:rPr>
          <w:rFonts w:eastAsia="仿宋_GB2312"/>
          <w:color w:val="000000" w:themeColor="text1"/>
          <w:kern w:val="0"/>
          <w:sz w:val="32"/>
          <w:szCs w:val="32"/>
        </w:rPr>
        <w:t>2014</w:t>
      </w:r>
      <w:r w:rsidRPr="000612C3">
        <w:rPr>
          <w:rFonts w:eastAsia="仿宋_GB2312"/>
          <w:color w:val="000000" w:themeColor="text1"/>
          <w:kern w:val="0"/>
          <w:sz w:val="32"/>
          <w:szCs w:val="32"/>
        </w:rPr>
        <w:t>〕</w:t>
      </w:r>
      <w:r w:rsidRPr="000612C3">
        <w:rPr>
          <w:rFonts w:eastAsia="仿宋_GB2312"/>
          <w:color w:val="000000" w:themeColor="text1"/>
          <w:kern w:val="0"/>
          <w:sz w:val="32"/>
          <w:szCs w:val="32"/>
        </w:rPr>
        <w:t>116</w:t>
      </w:r>
      <w:r w:rsidRPr="000612C3">
        <w:rPr>
          <w:rFonts w:eastAsia="仿宋_GB2312"/>
          <w:color w:val="000000" w:themeColor="text1"/>
          <w:kern w:val="0"/>
          <w:sz w:val="32"/>
          <w:szCs w:val="32"/>
        </w:rPr>
        <w:t>号）第三条第一款规定将股权的计税基础一次调整到位。</w:t>
      </w:r>
    </w:p>
    <w:p w:rsidR="00FE1FC0" w:rsidRPr="000612C3" w:rsidRDefault="00FE1FC0" w:rsidP="000123C8">
      <w:pPr>
        <w:widowControl/>
        <w:shd w:val="clear" w:color="auto" w:fill="FFFFFF"/>
        <w:ind w:firstLineChars="200" w:firstLine="640"/>
        <w:jc w:val="left"/>
        <w:rPr>
          <w:rFonts w:eastAsia="仿宋_GB2312"/>
          <w:color w:val="000000" w:themeColor="text1"/>
          <w:kern w:val="0"/>
          <w:sz w:val="32"/>
          <w:szCs w:val="32"/>
        </w:rPr>
      </w:pPr>
      <w:r w:rsidRPr="000612C3">
        <w:rPr>
          <w:rFonts w:eastAsia="仿宋_GB2312"/>
          <w:color w:val="000000" w:themeColor="text1"/>
          <w:kern w:val="0"/>
          <w:sz w:val="32"/>
          <w:szCs w:val="32"/>
        </w:rPr>
        <w:t>企业在对外投资</w:t>
      </w:r>
      <w:r w:rsidRPr="000612C3">
        <w:rPr>
          <w:rFonts w:eastAsia="仿宋_GB2312"/>
          <w:color w:val="000000" w:themeColor="text1"/>
          <w:kern w:val="0"/>
          <w:sz w:val="32"/>
          <w:szCs w:val="32"/>
        </w:rPr>
        <w:t>5</w:t>
      </w:r>
      <w:r w:rsidRPr="000612C3">
        <w:rPr>
          <w:rFonts w:eastAsia="仿宋_GB2312"/>
          <w:color w:val="000000" w:themeColor="text1"/>
          <w:kern w:val="0"/>
          <w:sz w:val="32"/>
          <w:szCs w:val="32"/>
        </w:rPr>
        <w:t>年内注销的，应停止执行递延纳税政策，并就递延期内尚未确认的非货币性资产转让所得，在注销当年的企业所得税年度汇算清缴时，一次性计算缴纳企业所得税。</w:t>
      </w:r>
    </w:p>
    <w:p w:rsidR="00FE1FC0" w:rsidRPr="000612C3" w:rsidRDefault="00FE1FC0" w:rsidP="000123C8">
      <w:pPr>
        <w:spacing w:line="276" w:lineRule="auto"/>
        <w:ind w:firstLineChars="200" w:firstLine="640"/>
        <w:jc w:val="left"/>
        <w:rPr>
          <w:rFonts w:ascii="宋体" w:hAnsi="宋体" w:cs="宋体"/>
          <w:color w:val="000000" w:themeColor="text1"/>
          <w:kern w:val="0"/>
          <w:sz w:val="32"/>
          <w:szCs w:val="32"/>
        </w:rPr>
      </w:pPr>
      <w:r w:rsidRPr="000612C3">
        <w:rPr>
          <w:rFonts w:eastAsia="仿宋_GB2312"/>
          <w:color w:val="000000" w:themeColor="text1"/>
          <w:kern w:val="0"/>
          <w:sz w:val="32"/>
          <w:szCs w:val="32"/>
        </w:rPr>
        <w:t>企业应将股权投资合同或协议、对外投资的非货币性资产（明细）公允价值评估确认报告、非货币性资产（明细）计税基础的情况说明、被投资企业设立或变更的工商部门证</w:t>
      </w:r>
      <w:r w:rsidRPr="000612C3">
        <w:rPr>
          <w:rFonts w:eastAsia="仿宋_GB2312"/>
          <w:color w:val="000000" w:themeColor="text1"/>
          <w:kern w:val="0"/>
          <w:sz w:val="32"/>
          <w:szCs w:val="32"/>
        </w:rPr>
        <w:lastRenderedPageBreak/>
        <w:t>明材料等资料留存备查，并单独准确核算税法与会计差异情况</w:t>
      </w:r>
      <w:r w:rsidRPr="000612C3">
        <w:rPr>
          <w:rFonts w:eastAsia="仿宋_GB2312" w:hint="eastAsia"/>
          <w:color w:val="000000" w:themeColor="text1"/>
          <w:kern w:val="0"/>
          <w:sz w:val="32"/>
          <w:szCs w:val="32"/>
        </w:rPr>
        <w:t>。备查资料至少保存至非货币性资产对外投资递延纳税所得确认后的十年。若企业在税务机关核查时不提供相关备查资料的，</w:t>
      </w:r>
      <w:r w:rsidR="004930D4" w:rsidRPr="000612C3">
        <w:rPr>
          <w:rFonts w:eastAsia="仿宋_GB2312" w:hint="eastAsia"/>
          <w:color w:val="000000" w:themeColor="text1"/>
          <w:kern w:val="0"/>
          <w:sz w:val="32"/>
          <w:szCs w:val="32"/>
        </w:rPr>
        <w:t>税务机关</w:t>
      </w:r>
      <w:r w:rsidRPr="000612C3">
        <w:rPr>
          <w:rFonts w:eastAsia="仿宋_GB2312" w:hint="eastAsia"/>
          <w:color w:val="000000" w:themeColor="text1"/>
          <w:kern w:val="0"/>
          <w:sz w:val="32"/>
          <w:szCs w:val="32"/>
        </w:rPr>
        <w:t>将按《中华人民共和国税收征收管理法》规定处理。</w:t>
      </w:r>
    </w:p>
    <w:p w:rsidR="00A75B8D" w:rsidRPr="000612C3" w:rsidRDefault="00A75B8D">
      <w:pPr>
        <w:rPr>
          <w:color w:val="000000" w:themeColor="text1"/>
        </w:rPr>
      </w:pPr>
    </w:p>
    <w:p w:rsidR="006012B4" w:rsidRPr="000612C3" w:rsidRDefault="006012B4">
      <w:pPr>
        <w:rPr>
          <w:color w:val="000000" w:themeColor="text1"/>
        </w:rPr>
      </w:pPr>
    </w:p>
    <w:p w:rsidR="006012B4" w:rsidRPr="000612C3" w:rsidRDefault="006012B4" w:rsidP="006012B4">
      <w:pPr>
        <w:snapToGrid w:val="0"/>
        <w:spacing w:line="360" w:lineRule="auto"/>
        <w:ind w:firstLineChars="1100" w:firstLine="3520"/>
        <w:rPr>
          <w:rFonts w:eastAsia="仿宋_GB2312"/>
          <w:color w:val="000000" w:themeColor="text1"/>
          <w:sz w:val="32"/>
          <w:szCs w:val="32"/>
        </w:rPr>
      </w:pPr>
      <w:r w:rsidRPr="000612C3">
        <w:rPr>
          <w:rFonts w:eastAsia="仿宋_GB2312" w:hint="eastAsia"/>
          <w:color w:val="000000" w:themeColor="text1"/>
          <w:sz w:val="32"/>
          <w:szCs w:val="32"/>
        </w:rPr>
        <w:t>上海市</w:t>
      </w:r>
      <w:r w:rsidRPr="000612C3">
        <w:rPr>
          <w:rFonts w:eastAsia="仿宋_GB2312" w:hint="eastAsia"/>
          <w:color w:val="000000" w:themeColor="text1"/>
          <w:sz w:val="32"/>
          <w:szCs w:val="32"/>
          <w:u w:val="single"/>
        </w:rPr>
        <w:t xml:space="preserve">     </w:t>
      </w:r>
      <w:r w:rsidRPr="000612C3">
        <w:rPr>
          <w:rFonts w:eastAsia="仿宋_GB2312" w:hint="eastAsia"/>
          <w:color w:val="000000" w:themeColor="text1"/>
          <w:sz w:val="32"/>
          <w:szCs w:val="32"/>
        </w:rPr>
        <w:t>区（县）国家税务局</w:t>
      </w:r>
    </w:p>
    <w:p w:rsidR="006012B4" w:rsidRPr="000612C3" w:rsidRDefault="006012B4" w:rsidP="006012B4">
      <w:pPr>
        <w:snapToGrid w:val="0"/>
        <w:spacing w:line="360" w:lineRule="auto"/>
        <w:jc w:val="right"/>
        <w:rPr>
          <w:rFonts w:eastAsia="仿宋_GB2312"/>
          <w:color w:val="000000" w:themeColor="text1"/>
          <w:sz w:val="32"/>
          <w:szCs w:val="32"/>
        </w:rPr>
      </w:pPr>
      <w:r w:rsidRPr="000612C3">
        <w:rPr>
          <w:rFonts w:eastAsia="仿宋_GB2312" w:hint="eastAsia"/>
          <w:color w:val="000000" w:themeColor="text1"/>
          <w:sz w:val="32"/>
          <w:szCs w:val="32"/>
        </w:rPr>
        <w:t>上海市地方税务局</w:t>
      </w:r>
      <w:r w:rsidRPr="000612C3">
        <w:rPr>
          <w:rFonts w:eastAsia="仿宋_GB2312" w:hint="eastAsia"/>
          <w:color w:val="000000" w:themeColor="text1"/>
          <w:sz w:val="32"/>
          <w:szCs w:val="32"/>
          <w:u w:val="single"/>
        </w:rPr>
        <w:t xml:space="preserve">    </w:t>
      </w:r>
      <w:r w:rsidRPr="000612C3">
        <w:rPr>
          <w:rFonts w:eastAsia="仿宋_GB2312" w:hint="eastAsia"/>
          <w:color w:val="000000" w:themeColor="text1"/>
          <w:sz w:val="32"/>
          <w:szCs w:val="32"/>
        </w:rPr>
        <w:t>区（县）分局</w:t>
      </w:r>
      <w:r w:rsidRPr="000612C3">
        <w:rPr>
          <w:rFonts w:eastAsia="仿宋_GB2312" w:hint="eastAsia"/>
          <w:color w:val="000000" w:themeColor="text1"/>
          <w:sz w:val="32"/>
          <w:szCs w:val="32"/>
        </w:rPr>
        <w:tab/>
      </w:r>
      <w:r w:rsidRPr="000612C3">
        <w:rPr>
          <w:rFonts w:eastAsia="仿宋_GB2312" w:hint="eastAsia"/>
          <w:color w:val="000000" w:themeColor="text1"/>
          <w:sz w:val="32"/>
          <w:szCs w:val="32"/>
        </w:rPr>
        <w:t>印发</w:t>
      </w:r>
    </w:p>
    <w:p w:rsidR="006012B4" w:rsidRPr="000612C3" w:rsidRDefault="006012B4">
      <w:pPr>
        <w:rPr>
          <w:color w:val="000000" w:themeColor="text1"/>
        </w:rPr>
      </w:pPr>
    </w:p>
    <w:sectPr w:rsidR="006012B4" w:rsidRPr="000612C3" w:rsidSect="00A75B8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8A8" w:rsidRDefault="00C628A8" w:rsidP="00FE1FC0">
      <w:r>
        <w:separator/>
      </w:r>
    </w:p>
  </w:endnote>
  <w:endnote w:type="continuationSeparator" w:id="1">
    <w:p w:rsidR="00C628A8" w:rsidRDefault="00C628A8" w:rsidP="00FE1F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FC0" w:rsidRDefault="00FE1FC0">
    <w:pPr>
      <w:pStyle w:val="a4"/>
      <w:jc w:val="center"/>
    </w:pPr>
  </w:p>
  <w:p w:rsidR="00FE1FC0" w:rsidRDefault="00FE1FC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8A8" w:rsidRDefault="00C628A8" w:rsidP="00FE1FC0">
      <w:r>
        <w:separator/>
      </w:r>
    </w:p>
  </w:footnote>
  <w:footnote w:type="continuationSeparator" w:id="1">
    <w:p w:rsidR="00C628A8" w:rsidRDefault="00C628A8" w:rsidP="00FE1F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1FC0"/>
    <w:rsid w:val="000123C8"/>
    <w:rsid w:val="000612C3"/>
    <w:rsid w:val="001F5283"/>
    <w:rsid w:val="00322013"/>
    <w:rsid w:val="004930D4"/>
    <w:rsid w:val="006012B4"/>
    <w:rsid w:val="00A75B8D"/>
    <w:rsid w:val="00B57406"/>
    <w:rsid w:val="00C628A8"/>
    <w:rsid w:val="00DC75C6"/>
    <w:rsid w:val="00E315CF"/>
    <w:rsid w:val="00FE1F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C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1F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1FC0"/>
    <w:rPr>
      <w:rFonts w:ascii="Times New Roman" w:eastAsia="宋体" w:hAnsi="Times New Roman" w:cs="Times New Roman"/>
      <w:sz w:val="18"/>
      <w:szCs w:val="18"/>
    </w:rPr>
  </w:style>
  <w:style w:type="paragraph" w:styleId="a4">
    <w:name w:val="footer"/>
    <w:basedOn w:val="a"/>
    <w:link w:val="Char0"/>
    <w:uiPriority w:val="99"/>
    <w:unhideWhenUsed/>
    <w:rsid w:val="00FE1FC0"/>
    <w:pPr>
      <w:tabs>
        <w:tab w:val="center" w:pos="4153"/>
        <w:tab w:val="right" w:pos="8306"/>
      </w:tabs>
      <w:snapToGrid w:val="0"/>
      <w:jc w:val="left"/>
    </w:pPr>
    <w:rPr>
      <w:sz w:val="18"/>
      <w:szCs w:val="18"/>
    </w:rPr>
  </w:style>
  <w:style w:type="character" w:customStyle="1" w:styleId="Char0">
    <w:name w:val="页脚 Char"/>
    <w:basedOn w:val="a0"/>
    <w:link w:val="a4"/>
    <w:uiPriority w:val="99"/>
    <w:rsid w:val="00FE1FC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523</Characters>
  <Application>Microsoft Office Word</Application>
  <DocSecurity>0</DocSecurity>
  <Lines>4</Lines>
  <Paragraphs>1</Paragraphs>
  <ScaleCrop>false</ScaleCrop>
  <Company/>
  <LinksUpToDate>false</LinksUpToDate>
  <CharactersWithSpaces>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缪良英</dc:creator>
  <cp:keywords/>
  <dc:description/>
  <cp:lastModifiedBy>莫沪慧</cp:lastModifiedBy>
  <cp:revision>4</cp:revision>
  <cp:lastPrinted>2015-10-23T06:50:00Z</cp:lastPrinted>
  <dcterms:created xsi:type="dcterms:W3CDTF">2015-10-23T06:51:00Z</dcterms:created>
  <dcterms:modified xsi:type="dcterms:W3CDTF">2015-10-26T06:05:00Z</dcterms:modified>
</cp:coreProperties>
</file>